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14" w:type="dxa"/>
        <w:tblLook w:val="04A0" w:firstRow="1" w:lastRow="0" w:firstColumn="1" w:lastColumn="0" w:noHBand="0" w:noVBand="1"/>
      </w:tblPr>
      <w:tblGrid>
        <w:gridCol w:w="5157"/>
        <w:gridCol w:w="5157"/>
      </w:tblGrid>
      <w:tr w:rsidR="0015242A" w:rsidRPr="00180C3D" w:rsidTr="00427CAC">
        <w:tc>
          <w:tcPr>
            <w:tcW w:w="10314" w:type="dxa"/>
            <w:gridSpan w:val="2"/>
          </w:tcPr>
          <w:p w:rsidR="0015242A" w:rsidRPr="00180C3D" w:rsidRDefault="0015242A" w:rsidP="00427CAC">
            <w:pPr>
              <w:tabs>
                <w:tab w:val="left" w:pos="540"/>
              </w:tabs>
              <w:ind w:firstLine="113"/>
              <w:jc w:val="both"/>
              <w:rPr>
                <w:rStyle w:val="Strong"/>
                <w:rFonts w:eastAsia="MS Mincho"/>
                <w:sz w:val="18"/>
                <w:szCs w:val="18"/>
              </w:rPr>
            </w:pPr>
            <w:r w:rsidRPr="00180C3D">
              <w:rPr>
                <w:rStyle w:val="Strong"/>
                <w:rFonts w:eastAsia="MS Mincho"/>
                <w:sz w:val="18"/>
                <w:szCs w:val="18"/>
              </w:rPr>
              <w:t>DHQ – PHÂN HIỆU ĐH HUẾ TẠI QUẢNG TRỊ</w:t>
            </w:r>
          </w:p>
        </w:tc>
      </w:tr>
      <w:tr w:rsidR="0015242A" w:rsidRPr="00180C3D" w:rsidTr="00427CAC">
        <w:tc>
          <w:tcPr>
            <w:tcW w:w="10314" w:type="dxa"/>
            <w:gridSpan w:val="2"/>
          </w:tcPr>
          <w:p w:rsidR="0015242A" w:rsidRPr="00180C3D" w:rsidRDefault="0015242A" w:rsidP="00427CAC">
            <w:pPr>
              <w:pStyle w:val="Heading1"/>
              <w:tabs>
                <w:tab w:val="left" w:pos="360"/>
              </w:tabs>
              <w:spacing w:before="0" w:after="0"/>
              <w:ind w:firstLine="113"/>
              <w:jc w:val="center"/>
              <w:outlineLvl w:val="0"/>
              <w:rPr>
                <w:rFonts w:ascii="Times New Roman" w:hAnsi="Times New Roman" w:cs="Times New Roman"/>
                <w:bCs w:val="0"/>
                <w:sz w:val="18"/>
                <w:szCs w:val="18"/>
              </w:rPr>
            </w:pPr>
            <w:r w:rsidRPr="00180C3D">
              <w:rPr>
                <w:rFonts w:ascii="Times New Roman" w:hAnsi="Times New Roman" w:cs="Times New Roman"/>
                <w:bCs w:val="0"/>
                <w:sz w:val="18"/>
                <w:szCs w:val="18"/>
              </w:rPr>
              <w:t>NGÀNH CÔNG NGHỆ KĨ THUẬT MÔI TRƯỜNG – D510406</w:t>
            </w:r>
          </w:p>
          <w:p w:rsidR="0015242A" w:rsidRPr="00180C3D" w:rsidRDefault="0015242A" w:rsidP="00427CAC">
            <w:pPr>
              <w:pStyle w:val="ListParagraph"/>
              <w:ind w:left="0" w:firstLine="113"/>
              <w:jc w:val="center"/>
              <w:rPr>
                <w:rStyle w:val="Strong"/>
                <w:rFonts w:eastAsia="MS Mincho"/>
                <w:sz w:val="18"/>
                <w:szCs w:val="18"/>
              </w:rPr>
            </w:pPr>
            <w:r w:rsidRPr="00180C3D">
              <w:rPr>
                <w:b/>
                <w:sz w:val="18"/>
                <w:szCs w:val="18"/>
                <w:lang w:eastAsia="ja-JP"/>
              </w:rPr>
              <w:t>Thời gian đào tạo: 4 năm</w:t>
            </w:r>
          </w:p>
        </w:tc>
      </w:tr>
      <w:tr w:rsidR="0015242A" w:rsidRPr="00180C3D" w:rsidTr="00427CAC">
        <w:tc>
          <w:tcPr>
            <w:tcW w:w="5157" w:type="dxa"/>
          </w:tcPr>
          <w:p w:rsidR="0015242A" w:rsidRPr="00180C3D" w:rsidRDefault="0015242A" w:rsidP="00427CAC">
            <w:pPr>
              <w:tabs>
                <w:tab w:val="left" w:pos="540"/>
              </w:tabs>
              <w:ind w:firstLine="113"/>
              <w:rPr>
                <w:sz w:val="18"/>
                <w:szCs w:val="18"/>
              </w:rPr>
            </w:pPr>
            <w:r w:rsidRPr="00180C3D">
              <w:rPr>
                <w:b/>
                <w:bCs/>
                <w:sz w:val="18"/>
                <w:szCs w:val="18"/>
              </w:rPr>
              <w:t>1. Kiến thức</w:t>
            </w:r>
          </w:p>
          <w:p w:rsidR="0015242A" w:rsidRPr="00180C3D" w:rsidRDefault="0015242A" w:rsidP="00427CAC">
            <w:pPr>
              <w:tabs>
                <w:tab w:val="left" w:pos="540"/>
              </w:tabs>
              <w:ind w:firstLine="113"/>
              <w:jc w:val="both"/>
              <w:rPr>
                <w:sz w:val="18"/>
                <w:szCs w:val="18"/>
              </w:rPr>
            </w:pPr>
            <w:r w:rsidRPr="00180C3D">
              <w:rPr>
                <w:bCs/>
                <w:iCs/>
                <w:sz w:val="18"/>
                <w:szCs w:val="18"/>
              </w:rPr>
              <w:t>* Kiến thức chung</w:t>
            </w:r>
            <w:r w:rsidRPr="00180C3D">
              <w:rPr>
                <w:sz w:val="18"/>
                <w:szCs w:val="18"/>
              </w:rPr>
              <w:t>:</w:t>
            </w:r>
          </w:p>
          <w:p w:rsidR="0015242A" w:rsidRPr="00180C3D" w:rsidRDefault="0015242A" w:rsidP="00427CAC">
            <w:pPr>
              <w:tabs>
                <w:tab w:val="left" w:pos="540"/>
              </w:tabs>
              <w:jc w:val="both"/>
              <w:rPr>
                <w:sz w:val="18"/>
                <w:szCs w:val="18"/>
              </w:rPr>
            </w:pPr>
            <w:r w:rsidRPr="00180C3D">
              <w:rPr>
                <w:sz w:val="18"/>
                <w:szCs w:val="18"/>
                <w:lang w:val="fr-FR"/>
              </w:rPr>
              <w:t xml:space="preserve">- </w:t>
            </w:r>
            <w:r w:rsidRPr="00180C3D">
              <w:rPr>
                <w:sz w:val="18"/>
                <w:szCs w:val="18"/>
              </w:rPr>
              <w:t xml:space="preserve">Có hiểu biết về các nguyên lý cơ bản của chủ nghĩa Mác – Lênin, Đường lối cách mạng của Đảng cộng sản Việt Nam, Tư tưởng Hồ Chí Minh và các kiến thức cơ bản về khoa học tự nhiên (Toán học, Vật lí học, Hoá học, Sinh học, Khoa học môi trường) và khoa học xã hội để có khả năng tiếp thu kiến thức chuyên ngành và có khả năng học tập, nâng cao trình độ phù hợp với chuyên ngành được đào tạo. </w:t>
            </w:r>
          </w:p>
          <w:p w:rsidR="0015242A" w:rsidRPr="00180C3D" w:rsidRDefault="0015242A" w:rsidP="00427CAC">
            <w:pPr>
              <w:tabs>
                <w:tab w:val="left" w:pos="540"/>
              </w:tabs>
              <w:jc w:val="both"/>
              <w:rPr>
                <w:sz w:val="18"/>
                <w:szCs w:val="18"/>
              </w:rPr>
            </w:pPr>
            <w:r w:rsidRPr="00180C3D">
              <w:rPr>
                <w:sz w:val="18"/>
                <w:szCs w:val="18"/>
                <w:lang w:val="fr-FR"/>
              </w:rPr>
              <w:t xml:space="preserve">- </w:t>
            </w:r>
            <w:r w:rsidRPr="00180C3D">
              <w:rPr>
                <w:sz w:val="18"/>
                <w:szCs w:val="18"/>
              </w:rPr>
              <w:t>Có trình độ tiếng Anh tương đương 350 điểm TOEIC, và trình độ Tin học tương đương chứng chỉ B, sử dụng tốt các phần mềm chuyên ngành Kĩ thuật công nghệ môi trường.</w:t>
            </w:r>
          </w:p>
          <w:p w:rsidR="0015242A" w:rsidRPr="00180C3D" w:rsidRDefault="0015242A" w:rsidP="00427CAC">
            <w:pPr>
              <w:tabs>
                <w:tab w:val="left" w:pos="540"/>
              </w:tabs>
              <w:ind w:firstLine="113"/>
              <w:jc w:val="both"/>
              <w:rPr>
                <w:bCs/>
                <w:iCs/>
                <w:sz w:val="18"/>
                <w:szCs w:val="18"/>
              </w:rPr>
            </w:pPr>
            <w:r w:rsidRPr="00180C3D">
              <w:rPr>
                <w:bCs/>
                <w:iCs/>
                <w:sz w:val="18"/>
                <w:szCs w:val="18"/>
              </w:rPr>
              <w:t xml:space="preserve">* Kiến thức chuyên ngành </w:t>
            </w:r>
          </w:p>
          <w:p w:rsidR="0015242A" w:rsidRPr="00180C3D" w:rsidRDefault="0015242A" w:rsidP="00427CAC">
            <w:pPr>
              <w:tabs>
                <w:tab w:val="left" w:pos="540"/>
              </w:tabs>
              <w:jc w:val="both"/>
              <w:rPr>
                <w:sz w:val="18"/>
                <w:szCs w:val="18"/>
              </w:rPr>
            </w:pPr>
            <w:r w:rsidRPr="00180C3D">
              <w:rPr>
                <w:sz w:val="18"/>
                <w:szCs w:val="18"/>
                <w:lang w:val="fr-FR"/>
              </w:rPr>
              <w:t xml:space="preserve">- </w:t>
            </w:r>
            <w:r w:rsidRPr="00180C3D">
              <w:rPr>
                <w:sz w:val="18"/>
                <w:szCs w:val="18"/>
              </w:rPr>
              <w:t xml:space="preserve">Có kiến thức cơ sở của ngành học (thuỷ lực môi trường, quá trình công nghệ môi trường, thiết kế thí nghiệm và tối ưu hoá, sản xuất sạch hơn, kĩ thuật thi công và vẽ kĩ thuật...) và những kiến thức chuyên sâu về các lĩnh vực kĩ thuật công nghệ môi trường (hoá môi trường, vi sinh môi trường, phân tích môi trường, xử lí nước thải, khí thải, chất thải rắn, mô hình hoá môi trường, kinh tế môi trường, quản lí môi trường, độc hại môi trường, kĩ thuật hệ thống cấp thoát nước và Luật môi trường, thiết bị công nghệ môi trường...). </w:t>
            </w:r>
          </w:p>
          <w:p w:rsidR="0015242A" w:rsidRPr="00180C3D" w:rsidRDefault="0015242A" w:rsidP="00427CAC">
            <w:pPr>
              <w:jc w:val="both"/>
              <w:rPr>
                <w:sz w:val="18"/>
                <w:szCs w:val="18"/>
              </w:rPr>
            </w:pPr>
            <w:r w:rsidRPr="00180C3D">
              <w:rPr>
                <w:sz w:val="18"/>
                <w:szCs w:val="18"/>
                <w:lang w:val="fr-FR"/>
              </w:rPr>
              <w:t xml:space="preserve">- </w:t>
            </w:r>
            <w:r w:rsidRPr="00180C3D">
              <w:rPr>
                <w:sz w:val="18"/>
                <w:szCs w:val="18"/>
              </w:rPr>
              <w:t>Có khả năng áp dụng các phương pháp phân tích, thiết kế, mô hình hoá và các thiết bị điều khiển tự động CNMT vào thực tế quản lí, xây dựng, xử lí môi trường.</w:t>
            </w:r>
          </w:p>
          <w:p w:rsidR="0015242A" w:rsidRPr="00180C3D" w:rsidRDefault="0015242A" w:rsidP="00427CAC">
            <w:pPr>
              <w:tabs>
                <w:tab w:val="left" w:pos="540"/>
              </w:tabs>
              <w:ind w:firstLine="113"/>
              <w:jc w:val="both"/>
              <w:rPr>
                <w:sz w:val="18"/>
                <w:szCs w:val="18"/>
              </w:rPr>
            </w:pPr>
            <w:r w:rsidRPr="00180C3D">
              <w:rPr>
                <w:b/>
                <w:bCs/>
                <w:sz w:val="18"/>
                <w:szCs w:val="18"/>
              </w:rPr>
              <w:t>2. Kỹ năng</w:t>
            </w:r>
            <w:r w:rsidRPr="00180C3D">
              <w:rPr>
                <w:sz w:val="18"/>
                <w:szCs w:val="18"/>
              </w:rPr>
              <w:t xml:space="preserve"> </w:t>
            </w:r>
          </w:p>
          <w:p w:rsidR="0015242A" w:rsidRPr="00180C3D" w:rsidRDefault="0015242A" w:rsidP="00427CAC">
            <w:pPr>
              <w:tabs>
                <w:tab w:val="left" w:pos="540"/>
              </w:tabs>
              <w:jc w:val="both"/>
              <w:rPr>
                <w:sz w:val="18"/>
                <w:szCs w:val="18"/>
              </w:rPr>
            </w:pPr>
            <w:r w:rsidRPr="00180C3D">
              <w:rPr>
                <w:sz w:val="18"/>
                <w:szCs w:val="18"/>
                <w:lang w:val="fr-FR"/>
              </w:rPr>
              <w:t xml:space="preserve">- </w:t>
            </w:r>
            <w:r w:rsidRPr="00180C3D">
              <w:rPr>
                <w:sz w:val="18"/>
                <w:szCs w:val="18"/>
              </w:rPr>
              <w:t>Phân tích môi trường; Thiết kế các công trình xử lí chất thải; Tổ chức thi công, vận hành và giám sát công trình xử lý và kiểm soát ô nhiễm môi trường; Phân tích và tổng hợp vấn đề, xác định và đánh giá thực tiễn nhằm đưa ra các phương án bảo vệ môi trường khả thi.</w:t>
            </w:r>
          </w:p>
          <w:p w:rsidR="0015242A" w:rsidRPr="00180C3D" w:rsidRDefault="0015242A" w:rsidP="00427CAC">
            <w:pPr>
              <w:tabs>
                <w:tab w:val="left" w:pos="540"/>
              </w:tabs>
              <w:ind w:firstLine="113"/>
              <w:jc w:val="both"/>
              <w:rPr>
                <w:rStyle w:val="Strong"/>
                <w:rFonts w:eastAsia="MS Mincho"/>
                <w:sz w:val="18"/>
                <w:szCs w:val="18"/>
              </w:rPr>
            </w:pPr>
          </w:p>
        </w:tc>
        <w:tc>
          <w:tcPr>
            <w:tcW w:w="5157" w:type="dxa"/>
          </w:tcPr>
          <w:p w:rsidR="0015242A" w:rsidRPr="00180C3D" w:rsidRDefault="0015242A" w:rsidP="00427CAC">
            <w:pPr>
              <w:tabs>
                <w:tab w:val="left" w:pos="540"/>
              </w:tabs>
              <w:ind w:firstLine="113"/>
              <w:jc w:val="both"/>
              <w:rPr>
                <w:sz w:val="18"/>
                <w:szCs w:val="18"/>
              </w:rPr>
            </w:pPr>
            <w:r w:rsidRPr="00180C3D">
              <w:rPr>
                <w:b/>
                <w:bCs/>
                <w:sz w:val="18"/>
                <w:szCs w:val="18"/>
              </w:rPr>
              <w:t>3. Thái độ</w:t>
            </w:r>
            <w:r w:rsidRPr="00180C3D">
              <w:rPr>
                <w:sz w:val="18"/>
                <w:szCs w:val="18"/>
              </w:rPr>
              <w:t xml:space="preserve"> </w:t>
            </w:r>
          </w:p>
          <w:p w:rsidR="0015242A" w:rsidRPr="00180C3D" w:rsidRDefault="0015242A" w:rsidP="00427CAC">
            <w:pPr>
              <w:tabs>
                <w:tab w:val="left" w:pos="540"/>
              </w:tabs>
              <w:jc w:val="both"/>
              <w:rPr>
                <w:sz w:val="18"/>
                <w:szCs w:val="18"/>
              </w:rPr>
            </w:pPr>
            <w:r w:rsidRPr="00180C3D">
              <w:rPr>
                <w:sz w:val="18"/>
                <w:szCs w:val="18"/>
                <w:lang w:val="fr-FR"/>
              </w:rPr>
              <w:t xml:space="preserve">- </w:t>
            </w:r>
            <w:r w:rsidRPr="00180C3D">
              <w:rPr>
                <w:sz w:val="18"/>
                <w:szCs w:val="18"/>
              </w:rPr>
              <w:t>Có ý thức trách nhiệm công dân</w:t>
            </w:r>
          </w:p>
          <w:p w:rsidR="0015242A" w:rsidRPr="00180C3D" w:rsidRDefault="0015242A" w:rsidP="00427CAC">
            <w:pPr>
              <w:tabs>
                <w:tab w:val="left" w:pos="540"/>
              </w:tabs>
              <w:jc w:val="both"/>
              <w:rPr>
                <w:sz w:val="18"/>
                <w:szCs w:val="18"/>
              </w:rPr>
            </w:pPr>
            <w:r w:rsidRPr="00180C3D">
              <w:rPr>
                <w:sz w:val="18"/>
                <w:szCs w:val="18"/>
                <w:lang w:val="fr-FR"/>
              </w:rPr>
              <w:t xml:space="preserve">- </w:t>
            </w:r>
            <w:r w:rsidRPr="00180C3D">
              <w:rPr>
                <w:sz w:val="18"/>
                <w:szCs w:val="18"/>
              </w:rPr>
              <w:t>Có thái độ và đạo đức nghề nghiệp đúng đắn</w:t>
            </w:r>
          </w:p>
          <w:p w:rsidR="0015242A" w:rsidRPr="00180C3D" w:rsidRDefault="0015242A" w:rsidP="00427CAC">
            <w:pPr>
              <w:tabs>
                <w:tab w:val="left" w:pos="540"/>
              </w:tabs>
              <w:jc w:val="both"/>
              <w:rPr>
                <w:sz w:val="18"/>
                <w:szCs w:val="18"/>
              </w:rPr>
            </w:pPr>
            <w:r w:rsidRPr="00180C3D">
              <w:rPr>
                <w:sz w:val="18"/>
                <w:szCs w:val="18"/>
                <w:lang w:val="fr-FR"/>
              </w:rPr>
              <w:t xml:space="preserve">- </w:t>
            </w:r>
            <w:r w:rsidRPr="00180C3D">
              <w:rPr>
                <w:sz w:val="18"/>
                <w:szCs w:val="18"/>
              </w:rPr>
              <w:t xml:space="preserve">Có ý thức kỷ luật và tác phong công nghiệp, tinh thần làm việc theo nhóm, khả năng tự nghiên cứu, tư duy sáng tạo, làm việc độc lập; </w:t>
            </w:r>
          </w:p>
          <w:p w:rsidR="0015242A" w:rsidRPr="00180C3D" w:rsidRDefault="0015242A" w:rsidP="00427CAC">
            <w:pPr>
              <w:tabs>
                <w:tab w:val="left" w:pos="540"/>
              </w:tabs>
              <w:jc w:val="both"/>
              <w:rPr>
                <w:sz w:val="18"/>
                <w:szCs w:val="18"/>
              </w:rPr>
            </w:pPr>
            <w:r w:rsidRPr="00180C3D">
              <w:rPr>
                <w:sz w:val="18"/>
                <w:szCs w:val="18"/>
                <w:lang w:val="fr-FR"/>
              </w:rPr>
              <w:t xml:space="preserve">- </w:t>
            </w:r>
            <w:r w:rsidRPr="00180C3D">
              <w:rPr>
                <w:sz w:val="18"/>
                <w:szCs w:val="18"/>
              </w:rPr>
              <w:t xml:space="preserve">Có phương pháp làm việc khoa học, biết phân tích và giải quyết các vấn đề nảy sinh trong thực tiễn ngành Kĩ thuật công nghệ Môi trường. </w:t>
            </w:r>
          </w:p>
          <w:p w:rsidR="0015242A" w:rsidRPr="00180C3D" w:rsidRDefault="0015242A" w:rsidP="00427CAC">
            <w:pPr>
              <w:tabs>
                <w:tab w:val="left" w:pos="540"/>
              </w:tabs>
              <w:jc w:val="both"/>
              <w:rPr>
                <w:sz w:val="18"/>
                <w:szCs w:val="18"/>
              </w:rPr>
            </w:pPr>
            <w:r w:rsidRPr="00180C3D">
              <w:rPr>
                <w:sz w:val="18"/>
                <w:szCs w:val="18"/>
                <w:lang w:val="fr-FR"/>
              </w:rPr>
              <w:t xml:space="preserve">- </w:t>
            </w:r>
            <w:r w:rsidRPr="00180C3D">
              <w:rPr>
                <w:sz w:val="18"/>
                <w:szCs w:val="18"/>
              </w:rPr>
              <w:t>Biết đúc rút kinh nghiệm để hình thành kỹ năng tư duy, lập luận.</w:t>
            </w:r>
          </w:p>
          <w:p w:rsidR="0015242A" w:rsidRPr="00180C3D" w:rsidRDefault="0015242A" w:rsidP="00427CAC">
            <w:pPr>
              <w:tabs>
                <w:tab w:val="left" w:pos="540"/>
              </w:tabs>
              <w:ind w:firstLine="113"/>
              <w:jc w:val="both"/>
              <w:rPr>
                <w:sz w:val="18"/>
                <w:szCs w:val="18"/>
              </w:rPr>
            </w:pPr>
            <w:r w:rsidRPr="00180C3D">
              <w:rPr>
                <w:b/>
                <w:bCs/>
                <w:sz w:val="18"/>
                <w:szCs w:val="18"/>
              </w:rPr>
              <w:t>4. Vị trí và khả năng làm việc sau khi tốt nghiệp</w:t>
            </w:r>
            <w:r w:rsidRPr="00180C3D">
              <w:rPr>
                <w:sz w:val="18"/>
                <w:szCs w:val="18"/>
              </w:rPr>
              <w:t xml:space="preserve"> </w:t>
            </w:r>
          </w:p>
          <w:p w:rsidR="0015242A" w:rsidRPr="00180C3D" w:rsidRDefault="0015242A" w:rsidP="00427CAC">
            <w:pPr>
              <w:tabs>
                <w:tab w:val="left" w:pos="540"/>
              </w:tabs>
              <w:ind w:firstLine="113"/>
              <w:jc w:val="both"/>
              <w:rPr>
                <w:sz w:val="18"/>
                <w:szCs w:val="18"/>
              </w:rPr>
            </w:pPr>
            <w:r w:rsidRPr="00180C3D">
              <w:rPr>
                <w:sz w:val="18"/>
                <w:szCs w:val="18"/>
              </w:rPr>
              <w:t xml:space="preserve"> Các sinh viên sau khi ra trường có thể tiếp tục học để tham gia giảng dạy hoặc làm việc tại các cơ sở như: Các cơ quan nhà nước chuyên về môi trường:</w:t>
            </w:r>
          </w:p>
          <w:p w:rsidR="0015242A" w:rsidRPr="00180C3D" w:rsidRDefault="0015242A" w:rsidP="00427CAC">
            <w:pPr>
              <w:tabs>
                <w:tab w:val="left" w:pos="540"/>
              </w:tabs>
              <w:jc w:val="both"/>
              <w:rPr>
                <w:sz w:val="18"/>
                <w:szCs w:val="18"/>
              </w:rPr>
            </w:pPr>
            <w:r w:rsidRPr="00180C3D">
              <w:rPr>
                <w:sz w:val="18"/>
                <w:szCs w:val="18"/>
                <w:lang w:val="fr-FR"/>
              </w:rPr>
              <w:t xml:space="preserve">- </w:t>
            </w:r>
            <w:r w:rsidRPr="00180C3D">
              <w:rPr>
                <w:sz w:val="18"/>
                <w:szCs w:val="18"/>
              </w:rPr>
              <w:t xml:space="preserve"> Sở Tài nguyên và Môi trường,</w:t>
            </w:r>
          </w:p>
          <w:p w:rsidR="0015242A" w:rsidRPr="00180C3D" w:rsidRDefault="0015242A" w:rsidP="00427CAC">
            <w:pPr>
              <w:tabs>
                <w:tab w:val="left" w:pos="540"/>
              </w:tabs>
              <w:jc w:val="both"/>
              <w:rPr>
                <w:sz w:val="18"/>
                <w:szCs w:val="18"/>
              </w:rPr>
            </w:pPr>
            <w:r w:rsidRPr="00180C3D">
              <w:rPr>
                <w:sz w:val="18"/>
                <w:szCs w:val="18"/>
                <w:lang w:val="fr-FR"/>
              </w:rPr>
              <w:t xml:space="preserve">- </w:t>
            </w:r>
            <w:r w:rsidRPr="00180C3D">
              <w:rPr>
                <w:sz w:val="18"/>
                <w:szCs w:val="18"/>
              </w:rPr>
              <w:t xml:space="preserve"> Sở Khoa học và Công nghệ,</w:t>
            </w:r>
          </w:p>
          <w:p w:rsidR="0015242A" w:rsidRPr="00180C3D" w:rsidRDefault="0015242A" w:rsidP="00427CAC">
            <w:pPr>
              <w:tabs>
                <w:tab w:val="left" w:pos="540"/>
              </w:tabs>
              <w:jc w:val="both"/>
              <w:rPr>
                <w:sz w:val="18"/>
                <w:szCs w:val="18"/>
              </w:rPr>
            </w:pPr>
            <w:r w:rsidRPr="00180C3D">
              <w:rPr>
                <w:sz w:val="18"/>
                <w:szCs w:val="18"/>
                <w:lang w:val="fr-FR"/>
              </w:rPr>
              <w:t xml:space="preserve">-  </w:t>
            </w:r>
            <w:r w:rsidRPr="00180C3D">
              <w:rPr>
                <w:sz w:val="18"/>
                <w:szCs w:val="18"/>
              </w:rPr>
              <w:t xml:space="preserve">Sở Nông nghiệp và PTNT, </w:t>
            </w:r>
          </w:p>
          <w:p w:rsidR="0015242A" w:rsidRPr="00180C3D" w:rsidRDefault="0015242A" w:rsidP="00427CAC">
            <w:pPr>
              <w:tabs>
                <w:tab w:val="left" w:pos="540"/>
              </w:tabs>
              <w:jc w:val="both"/>
              <w:rPr>
                <w:sz w:val="18"/>
                <w:szCs w:val="18"/>
              </w:rPr>
            </w:pPr>
            <w:r w:rsidRPr="00180C3D">
              <w:rPr>
                <w:sz w:val="18"/>
                <w:szCs w:val="18"/>
                <w:lang w:val="fr-FR"/>
              </w:rPr>
              <w:t xml:space="preserve">-  </w:t>
            </w:r>
            <w:r w:rsidRPr="00180C3D">
              <w:rPr>
                <w:sz w:val="18"/>
                <w:szCs w:val="18"/>
              </w:rPr>
              <w:t xml:space="preserve">Phòng Tài nguyên và Môi trường huyện, thị xã (chuyên viên, cán bộ phụ trách...); </w:t>
            </w:r>
          </w:p>
          <w:p w:rsidR="0015242A" w:rsidRPr="00180C3D" w:rsidRDefault="0015242A" w:rsidP="00427CAC">
            <w:pPr>
              <w:tabs>
                <w:tab w:val="left" w:pos="540"/>
              </w:tabs>
              <w:jc w:val="both"/>
              <w:rPr>
                <w:sz w:val="18"/>
                <w:szCs w:val="18"/>
              </w:rPr>
            </w:pPr>
            <w:r w:rsidRPr="00180C3D">
              <w:rPr>
                <w:sz w:val="18"/>
                <w:szCs w:val="18"/>
                <w:lang w:val="fr-FR"/>
              </w:rPr>
              <w:t xml:space="preserve">-  </w:t>
            </w:r>
            <w:r w:rsidRPr="00180C3D">
              <w:rPr>
                <w:sz w:val="18"/>
                <w:szCs w:val="18"/>
              </w:rPr>
              <w:t xml:space="preserve">Các công ty, trung tâm, viện nghiên cứu... chuyên về công nghệ xử lý chất thải (lập dự án, thiết kê và thi cônǵ các công trình xử lý chất thải...); </w:t>
            </w:r>
          </w:p>
          <w:p w:rsidR="0015242A" w:rsidRPr="00180C3D" w:rsidRDefault="0015242A" w:rsidP="00427CAC">
            <w:pPr>
              <w:tabs>
                <w:tab w:val="left" w:pos="540"/>
              </w:tabs>
              <w:jc w:val="both"/>
              <w:rPr>
                <w:sz w:val="18"/>
                <w:szCs w:val="18"/>
              </w:rPr>
            </w:pPr>
            <w:r w:rsidRPr="00180C3D">
              <w:rPr>
                <w:sz w:val="18"/>
                <w:szCs w:val="18"/>
                <w:lang w:val="fr-FR"/>
              </w:rPr>
              <w:t xml:space="preserve">- </w:t>
            </w:r>
            <w:r w:rsidRPr="00180C3D">
              <w:rPr>
                <w:sz w:val="18"/>
                <w:szCs w:val="18"/>
              </w:rPr>
              <w:t xml:space="preserve">Các cơ sở sản xuất, dịch vụ như khu công nghiệp, khu chế xuất, nhà máy, bệnh viện, xưởng chế biến (kiểm soát và vận hành các công trình xử lý chất thải) </w:t>
            </w:r>
          </w:p>
          <w:p w:rsidR="0015242A" w:rsidRPr="00180C3D" w:rsidRDefault="0015242A" w:rsidP="00427CAC">
            <w:pPr>
              <w:tabs>
                <w:tab w:val="left" w:pos="540"/>
              </w:tabs>
              <w:jc w:val="both"/>
              <w:rPr>
                <w:sz w:val="18"/>
                <w:szCs w:val="18"/>
              </w:rPr>
            </w:pPr>
            <w:r w:rsidRPr="00180C3D">
              <w:rPr>
                <w:sz w:val="18"/>
                <w:szCs w:val="18"/>
                <w:lang w:val="fr-FR"/>
              </w:rPr>
              <w:t xml:space="preserve">- </w:t>
            </w:r>
            <w:r w:rsidRPr="00180C3D">
              <w:rPr>
                <w:sz w:val="18"/>
                <w:szCs w:val="18"/>
              </w:rPr>
              <w:t>Các dự án, chương trình liên quan đến môi trường (cố vấn, điều hành…) trong nước và nước ngoài.</w:t>
            </w:r>
          </w:p>
          <w:p w:rsidR="0015242A" w:rsidRPr="00180C3D" w:rsidRDefault="0015242A" w:rsidP="00427CAC">
            <w:pPr>
              <w:tabs>
                <w:tab w:val="left" w:pos="540"/>
              </w:tabs>
              <w:ind w:firstLine="113"/>
              <w:jc w:val="both"/>
              <w:rPr>
                <w:sz w:val="18"/>
                <w:szCs w:val="18"/>
              </w:rPr>
            </w:pPr>
            <w:r w:rsidRPr="00180C3D">
              <w:rPr>
                <w:b/>
                <w:bCs/>
                <w:sz w:val="18"/>
                <w:szCs w:val="18"/>
              </w:rPr>
              <w:t>5. Khả năng học tập, nâng cao trình độ sau khi tốt nghiệp</w:t>
            </w:r>
            <w:r w:rsidRPr="00180C3D">
              <w:rPr>
                <w:sz w:val="18"/>
                <w:szCs w:val="18"/>
              </w:rPr>
              <w:t xml:space="preserve"> </w:t>
            </w:r>
          </w:p>
          <w:p w:rsidR="0015242A" w:rsidRPr="00180C3D" w:rsidRDefault="0015242A" w:rsidP="00427CAC">
            <w:pPr>
              <w:tabs>
                <w:tab w:val="left" w:pos="540"/>
              </w:tabs>
              <w:ind w:firstLine="113"/>
              <w:jc w:val="both"/>
              <w:rPr>
                <w:sz w:val="18"/>
                <w:szCs w:val="18"/>
              </w:rPr>
            </w:pPr>
            <w:r w:rsidRPr="00180C3D">
              <w:rPr>
                <w:sz w:val="18"/>
                <w:szCs w:val="18"/>
              </w:rPr>
              <w:t>Tiếp tục học chương trình đào tạo sau đại học các chuyên ngành thuộc lĩnh vực Kĩ thuật công nghệ Môi trường; Nghiên cứu triển khai các ứng dụng của ngành Kĩ thuật Công nghệ Môi trường trong thực tế và trong các lĩnh vực quản lý, điều hành thiết kế, thi công.</w:t>
            </w:r>
          </w:p>
          <w:p w:rsidR="0015242A" w:rsidRPr="00180C3D" w:rsidRDefault="0015242A" w:rsidP="00427CAC">
            <w:pPr>
              <w:tabs>
                <w:tab w:val="left" w:pos="540"/>
              </w:tabs>
              <w:ind w:firstLine="113"/>
              <w:jc w:val="both"/>
              <w:rPr>
                <w:rStyle w:val="Strong"/>
                <w:rFonts w:eastAsia="MS Mincho"/>
                <w:sz w:val="18"/>
                <w:szCs w:val="18"/>
              </w:rPr>
            </w:pPr>
          </w:p>
        </w:tc>
      </w:tr>
      <w:tr w:rsidR="0015242A" w:rsidRPr="00180C3D" w:rsidTr="00427CAC">
        <w:tc>
          <w:tcPr>
            <w:tcW w:w="10314" w:type="dxa"/>
            <w:gridSpan w:val="2"/>
          </w:tcPr>
          <w:p w:rsidR="0015242A" w:rsidRPr="00180C3D" w:rsidRDefault="0015242A" w:rsidP="00427CAC">
            <w:pPr>
              <w:tabs>
                <w:tab w:val="left" w:pos="540"/>
              </w:tabs>
              <w:ind w:firstLine="113"/>
              <w:jc w:val="center"/>
              <w:rPr>
                <w:b/>
                <w:color w:val="FF0000"/>
                <w:sz w:val="18"/>
                <w:szCs w:val="18"/>
              </w:rPr>
            </w:pPr>
            <w:r w:rsidRPr="00180C3D">
              <w:rPr>
                <w:b/>
                <w:color w:val="FF0000"/>
                <w:sz w:val="18"/>
                <w:szCs w:val="18"/>
              </w:rPr>
              <w:t>NGÀNH KỸ THUẬT CÔNG TRÌNH XÂY DỰNG</w:t>
            </w:r>
          </w:p>
          <w:p w:rsidR="0015242A" w:rsidRPr="00180C3D" w:rsidRDefault="0015242A" w:rsidP="00427CAC">
            <w:pPr>
              <w:tabs>
                <w:tab w:val="left" w:pos="540"/>
              </w:tabs>
              <w:ind w:firstLine="113"/>
              <w:jc w:val="center"/>
              <w:rPr>
                <w:rStyle w:val="Strong"/>
                <w:rFonts w:eastAsia="MS Mincho"/>
                <w:sz w:val="18"/>
                <w:szCs w:val="18"/>
              </w:rPr>
            </w:pPr>
            <w:r w:rsidRPr="00180C3D">
              <w:rPr>
                <w:b/>
                <w:color w:val="FF0000"/>
                <w:sz w:val="18"/>
                <w:szCs w:val="18"/>
              </w:rPr>
              <w:t>Thời gian đào tạo: 4 năm</w:t>
            </w:r>
          </w:p>
        </w:tc>
      </w:tr>
      <w:tr w:rsidR="0015242A" w:rsidRPr="00180C3D" w:rsidTr="00427CAC">
        <w:tc>
          <w:tcPr>
            <w:tcW w:w="5157" w:type="dxa"/>
          </w:tcPr>
          <w:p w:rsidR="0015242A" w:rsidRPr="00180C3D" w:rsidRDefault="0015242A" w:rsidP="00427CAC">
            <w:pPr>
              <w:pStyle w:val="NormalWeb"/>
              <w:shd w:val="clear" w:color="auto" w:fill="FFFFFF"/>
              <w:spacing w:before="0" w:beforeAutospacing="0" w:after="0" w:afterAutospacing="0"/>
              <w:ind w:firstLine="113"/>
              <w:rPr>
                <w:rStyle w:val="apple-converted-space"/>
                <w:b/>
                <w:i/>
                <w:color w:val="FF0000"/>
                <w:sz w:val="18"/>
                <w:szCs w:val="18"/>
              </w:rPr>
            </w:pPr>
            <w:r w:rsidRPr="00180C3D">
              <w:rPr>
                <w:color w:val="FF0000"/>
                <w:sz w:val="18"/>
                <w:szCs w:val="18"/>
              </w:rPr>
              <w:br/>
            </w:r>
            <w:r w:rsidRPr="00180C3D">
              <w:rPr>
                <w:rStyle w:val="Emphasis"/>
                <w:b/>
                <w:color w:val="FF0000"/>
                <w:sz w:val="18"/>
                <w:szCs w:val="18"/>
              </w:rPr>
              <w:t xml:space="preserve">  1. Về kiến thức:</w:t>
            </w:r>
            <w:r w:rsidRPr="00180C3D">
              <w:rPr>
                <w:rStyle w:val="apple-converted-space"/>
                <w:b/>
                <w:i/>
                <w:color w:val="FF0000"/>
                <w:sz w:val="18"/>
                <w:szCs w:val="18"/>
              </w:rPr>
              <w:t> </w:t>
            </w:r>
          </w:p>
          <w:p w:rsidR="0015242A" w:rsidRPr="00180C3D" w:rsidRDefault="0015242A" w:rsidP="00427CAC">
            <w:pPr>
              <w:pStyle w:val="NormalWeb"/>
              <w:shd w:val="clear" w:color="auto" w:fill="FFFFFF"/>
              <w:spacing w:before="0" w:beforeAutospacing="0" w:after="0" w:afterAutospacing="0"/>
              <w:ind w:firstLine="113"/>
              <w:rPr>
                <w:color w:val="FF0000"/>
                <w:sz w:val="18"/>
                <w:szCs w:val="18"/>
              </w:rPr>
            </w:pPr>
            <w:r w:rsidRPr="00180C3D">
              <w:rPr>
                <w:color w:val="FF0000"/>
                <w:sz w:val="18"/>
                <w:szCs w:val="18"/>
              </w:rPr>
              <w:t>Ngành xây dựng dân dụng và công nghiệp đào tạo kỹ sư để làm các công việc khảo sát, thiết kế, thi công và quản lý dự án xây dựng công trình dân dụng và công nghiệp, có trình độ chuyên môn thành thạo, có trách nhiệm cao, tự chủ, năng động và sang tạo đáp ứng được nhu cầu xã hội.</w:t>
            </w:r>
          </w:p>
          <w:p w:rsidR="0015242A" w:rsidRPr="00180C3D" w:rsidRDefault="0015242A" w:rsidP="00427CAC">
            <w:pPr>
              <w:pStyle w:val="NormalWeb"/>
              <w:shd w:val="clear" w:color="auto" w:fill="FFFFFF"/>
              <w:spacing w:before="0" w:beforeAutospacing="0" w:after="0" w:afterAutospacing="0"/>
              <w:rPr>
                <w:rStyle w:val="apple-converted-space"/>
                <w:b/>
                <w:i/>
                <w:color w:val="FF0000"/>
                <w:sz w:val="18"/>
                <w:szCs w:val="18"/>
              </w:rPr>
            </w:pPr>
            <w:r w:rsidRPr="00180C3D">
              <w:rPr>
                <w:rStyle w:val="Emphasis"/>
                <w:b/>
                <w:color w:val="FF0000"/>
                <w:sz w:val="18"/>
                <w:szCs w:val="18"/>
              </w:rPr>
              <w:t xml:space="preserve">   2. Về kỹ năng:</w:t>
            </w:r>
            <w:r w:rsidRPr="00180C3D">
              <w:rPr>
                <w:rStyle w:val="apple-converted-space"/>
                <w:b/>
                <w:i/>
                <w:color w:val="FF0000"/>
                <w:sz w:val="18"/>
                <w:szCs w:val="18"/>
              </w:rPr>
              <w:t> </w:t>
            </w:r>
          </w:p>
          <w:p w:rsidR="0015242A" w:rsidRPr="00180C3D" w:rsidRDefault="0015242A" w:rsidP="00427CAC">
            <w:pPr>
              <w:pStyle w:val="NormalWeb"/>
              <w:shd w:val="clear" w:color="auto" w:fill="FFFFFF"/>
              <w:spacing w:before="0" w:beforeAutospacing="0" w:after="0" w:afterAutospacing="0"/>
              <w:ind w:firstLine="113"/>
              <w:rPr>
                <w:color w:val="FF0000"/>
                <w:sz w:val="18"/>
                <w:szCs w:val="18"/>
              </w:rPr>
            </w:pPr>
            <w:r w:rsidRPr="00180C3D">
              <w:rPr>
                <w:color w:val="FF0000"/>
                <w:sz w:val="18"/>
                <w:szCs w:val="18"/>
              </w:rPr>
              <w:t>Sinh viên sau khi tốt nghiệp có khả năng thiết kế các công trình nhà cao tầng, nhà thi đấu có mái che, nhà ga tàu điện ngầm, tháp ăngten truyền hình, rạp hát,... cũng như thiết kế kiến trúc và kết cấu, lập biện pháp kỹ thuật và chỉ đạo quản lý thi công các công trình xây dựng dân dụng và công nghiệp.</w:t>
            </w:r>
          </w:p>
          <w:p w:rsidR="0015242A" w:rsidRPr="00180C3D" w:rsidRDefault="0015242A" w:rsidP="00427CAC">
            <w:pPr>
              <w:pStyle w:val="NormalWeb"/>
              <w:shd w:val="clear" w:color="auto" w:fill="FFFFFF"/>
              <w:spacing w:before="0" w:beforeAutospacing="0" w:after="0" w:afterAutospacing="0"/>
              <w:rPr>
                <w:color w:val="FF0000"/>
                <w:sz w:val="18"/>
                <w:szCs w:val="18"/>
              </w:rPr>
            </w:pPr>
            <w:r w:rsidRPr="00180C3D">
              <w:rPr>
                <w:rStyle w:val="Emphasis"/>
                <w:b/>
                <w:color w:val="FF0000"/>
                <w:sz w:val="18"/>
                <w:szCs w:val="18"/>
              </w:rPr>
              <w:t xml:space="preserve">  3. Về thái độ:</w:t>
            </w:r>
            <w:r w:rsidRPr="00180C3D">
              <w:rPr>
                <w:rStyle w:val="apple-converted-space"/>
                <w:color w:val="FF0000"/>
                <w:sz w:val="18"/>
                <w:szCs w:val="18"/>
              </w:rPr>
              <w:t> </w:t>
            </w:r>
          </w:p>
          <w:p w:rsidR="0015242A" w:rsidRPr="00180C3D" w:rsidRDefault="0015242A" w:rsidP="00427CAC">
            <w:pPr>
              <w:pStyle w:val="NormalWeb"/>
              <w:shd w:val="clear" w:color="auto" w:fill="FFFFFF"/>
              <w:spacing w:before="0" w:beforeAutospacing="0" w:after="0" w:afterAutospacing="0"/>
              <w:rPr>
                <w:color w:val="FF0000"/>
                <w:sz w:val="18"/>
                <w:szCs w:val="18"/>
              </w:rPr>
            </w:pPr>
            <w:r w:rsidRPr="00180C3D">
              <w:rPr>
                <w:color w:val="FF0000"/>
                <w:sz w:val="18"/>
                <w:szCs w:val="18"/>
              </w:rPr>
              <w:t xml:space="preserve">      Cầu thị và hợp tác làm việc theo nhím và phối hợp liên ngành, trung thực và khác quan, có tinh thần ham học, vượt khó khăn, tự học vươn lên để nâng cao trình độ chuyên môn của mình.</w:t>
            </w:r>
          </w:p>
          <w:p w:rsidR="0015242A" w:rsidRPr="00180C3D" w:rsidRDefault="0015242A" w:rsidP="00427CAC">
            <w:pPr>
              <w:tabs>
                <w:tab w:val="left" w:pos="540"/>
              </w:tabs>
              <w:ind w:firstLine="113"/>
              <w:jc w:val="both"/>
              <w:rPr>
                <w:rStyle w:val="Strong"/>
                <w:rFonts w:eastAsia="MS Mincho"/>
                <w:sz w:val="18"/>
                <w:szCs w:val="18"/>
              </w:rPr>
            </w:pPr>
          </w:p>
        </w:tc>
        <w:tc>
          <w:tcPr>
            <w:tcW w:w="5157" w:type="dxa"/>
          </w:tcPr>
          <w:p w:rsidR="0015242A" w:rsidRPr="00180C3D" w:rsidRDefault="0015242A" w:rsidP="00427CAC">
            <w:pPr>
              <w:pStyle w:val="NormalWeb"/>
              <w:shd w:val="clear" w:color="auto" w:fill="FFFFFF"/>
              <w:spacing w:before="0" w:beforeAutospacing="0" w:after="0" w:afterAutospacing="0"/>
              <w:ind w:firstLine="113"/>
              <w:rPr>
                <w:color w:val="FF0000"/>
                <w:sz w:val="18"/>
                <w:szCs w:val="18"/>
              </w:rPr>
            </w:pPr>
            <w:r w:rsidRPr="00180C3D">
              <w:rPr>
                <w:color w:val="FF0000"/>
                <w:sz w:val="18"/>
                <w:szCs w:val="18"/>
              </w:rPr>
              <w:t xml:space="preserve">    Những sinh viên có học lực khá, giỏi, xuất sắc được ở lại trường để tiếp tục bồi dưỡng kiến thức nâng cao, học tiếp theo hệ cao học hoặc nghiên cứu sinh để làm công tác giảng dạy, được hưởng chế độ ưu tiên. Sinh viên sau khi tốt nghiệp có thể công tác tại các cơ quan xây dựng và quản lý dự án xây dựng, các Sở Xây dựng hoặc các thành phần kinh tế khác trong các liên doanh xây dựng dân dụng và công nghiệp</w:t>
            </w:r>
          </w:p>
          <w:p w:rsidR="0015242A" w:rsidRPr="00180C3D" w:rsidRDefault="0015242A" w:rsidP="00427CAC">
            <w:pPr>
              <w:tabs>
                <w:tab w:val="left" w:pos="360"/>
              </w:tabs>
              <w:ind w:firstLine="113"/>
              <w:jc w:val="both"/>
              <w:rPr>
                <w:b/>
                <w:color w:val="FF0000"/>
                <w:sz w:val="18"/>
                <w:szCs w:val="18"/>
              </w:rPr>
            </w:pPr>
            <w:r w:rsidRPr="00180C3D">
              <w:rPr>
                <w:b/>
                <w:color w:val="FF0000"/>
                <w:sz w:val="18"/>
                <w:szCs w:val="18"/>
              </w:rPr>
              <w:t>4. Vị trí và khả năng làm việc sau khi tốt nghiệp:</w:t>
            </w:r>
          </w:p>
          <w:p w:rsidR="0015242A" w:rsidRPr="00180C3D" w:rsidRDefault="0015242A" w:rsidP="00427CAC">
            <w:pPr>
              <w:tabs>
                <w:tab w:val="left" w:pos="360"/>
              </w:tabs>
              <w:ind w:firstLine="113"/>
              <w:jc w:val="both"/>
              <w:rPr>
                <w:color w:val="FF0000"/>
                <w:sz w:val="18"/>
                <w:szCs w:val="18"/>
              </w:rPr>
            </w:pPr>
            <w:r w:rsidRPr="00180C3D">
              <w:rPr>
                <w:color w:val="FF0000"/>
                <w:sz w:val="18"/>
                <w:szCs w:val="18"/>
              </w:rPr>
              <w:t>Sinh viên sau khi tốt nghiệp nganhg Kỹ thuật công trình xây dựngcó thể  làm các công việc như: khảo sát, thiết kế, thi công và quản lý dự án xây dựng công trình dân dụng và công nghiệp, có trình độ chuyên môn thành thạo, có trách nhiệm cao, tự chủ, năng động và sáng tạo đáp ứng được nhu cầu xã hội.</w:t>
            </w:r>
          </w:p>
          <w:p w:rsidR="0015242A" w:rsidRDefault="0015242A" w:rsidP="00427CAC">
            <w:pPr>
              <w:tabs>
                <w:tab w:val="left" w:pos="360"/>
              </w:tabs>
              <w:ind w:firstLine="113"/>
              <w:jc w:val="both"/>
              <w:rPr>
                <w:color w:val="FF0000"/>
                <w:sz w:val="18"/>
                <w:szCs w:val="18"/>
              </w:rPr>
            </w:pPr>
            <w:r w:rsidRPr="00180C3D">
              <w:rPr>
                <w:color w:val="FF0000"/>
                <w:sz w:val="18"/>
                <w:szCs w:val="18"/>
              </w:rPr>
              <w:t>Có khả năng thiết kế các công trình nhà cao tầng, nhà thi đấu có mái che, nhà ga cho tàu điện ngầm, tháp ăngten truyền hình, rạp hát,..  cũng như thiết kế kiến trúc và kết cấu, lập biện pháp kỹ thuật và chỉ đạo quản lý thi công các công trình xây dựng dân dụng và công nghiệp.</w:t>
            </w:r>
          </w:p>
          <w:p w:rsidR="0015242A" w:rsidRPr="00180C3D" w:rsidRDefault="0015242A" w:rsidP="00427CAC">
            <w:pPr>
              <w:tabs>
                <w:tab w:val="left" w:pos="360"/>
              </w:tabs>
              <w:ind w:firstLine="113"/>
              <w:jc w:val="both"/>
              <w:rPr>
                <w:rStyle w:val="Strong"/>
                <w:rFonts w:eastAsia="MS Mincho"/>
                <w:sz w:val="18"/>
                <w:szCs w:val="18"/>
              </w:rPr>
            </w:pPr>
          </w:p>
        </w:tc>
      </w:tr>
      <w:tr w:rsidR="0015242A" w:rsidRPr="00180C3D" w:rsidTr="00427CAC">
        <w:tc>
          <w:tcPr>
            <w:tcW w:w="10314" w:type="dxa"/>
            <w:gridSpan w:val="2"/>
          </w:tcPr>
          <w:p w:rsidR="0015242A" w:rsidRPr="00180C3D" w:rsidRDefault="0015242A" w:rsidP="00427CAC">
            <w:pPr>
              <w:tabs>
                <w:tab w:val="left" w:pos="360"/>
              </w:tabs>
              <w:ind w:firstLine="113"/>
              <w:jc w:val="center"/>
              <w:rPr>
                <w:b/>
                <w:color w:val="FF0000"/>
                <w:sz w:val="18"/>
                <w:szCs w:val="18"/>
              </w:rPr>
            </w:pPr>
            <w:r w:rsidRPr="00180C3D">
              <w:rPr>
                <w:b/>
                <w:color w:val="FF0000"/>
                <w:sz w:val="18"/>
                <w:szCs w:val="18"/>
              </w:rPr>
              <w:t>NGÀNH KỸ THUẬT ĐIỆN</w:t>
            </w:r>
          </w:p>
          <w:p w:rsidR="0015242A" w:rsidRPr="00180C3D" w:rsidRDefault="0015242A" w:rsidP="00427CAC">
            <w:pPr>
              <w:tabs>
                <w:tab w:val="left" w:pos="360"/>
              </w:tabs>
              <w:ind w:firstLine="113"/>
              <w:jc w:val="center"/>
              <w:rPr>
                <w:rStyle w:val="Strong"/>
                <w:rFonts w:eastAsia="MS Mincho"/>
                <w:sz w:val="18"/>
                <w:szCs w:val="18"/>
              </w:rPr>
            </w:pPr>
            <w:r w:rsidRPr="00180C3D">
              <w:rPr>
                <w:b/>
                <w:color w:val="FF0000"/>
                <w:sz w:val="18"/>
                <w:szCs w:val="18"/>
              </w:rPr>
              <w:t>Thời gian đào tạo: 4 năm</w:t>
            </w:r>
          </w:p>
        </w:tc>
      </w:tr>
      <w:tr w:rsidR="0015242A" w:rsidRPr="00180C3D" w:rsidTr="00427CAC">
        <w:tc>
          <w:tcPr>
            <w:tcW w:w="5157" w:type="dxa"/>
          </w:tcPr>
          <w:p w:rsidR="0015242A" w:rsidRPr="00180C3D" w:rsidRDefault="0015242A" w:rsidP="00427CAC">
            <w:pPr>
              <w:jc w:val="both"/>
              <w:rPr>
                <w:b/>
                <w:color w:val="FF0000"/>
                <w:sz w:val="18"/>
                <w:szCs w:val="18"/>
              </w:rPr>
            </w:pPr>
            <w:r w:rsidRPr="00180C3D">
              <w:rPr>
                <w:color w:val="FF0000"/>
                <w:sz w:val="18"/>
                <w:szCs w:val="18"/>
              </w:rPr>
              <w:t xml:space="preserve">  </w:t>
            </w:r>
            <w:r w:rsidRPr="00180C3D">
              <w:rPr>
                <w:b/>
                <w:color w:val="FF0000"/>
                <w:sz w:val="18"/>
                <w:szCs w:val="18"/>
              </w:rPr>
              <w:t>1. Kiến thức:</w:t>
            </w:r>
          </w:p>
          <w:p w:rsidR="0015242A" w:rsidRPr="00180C3D" w:rsidRDefault="0015242A" w:rsidP="00427CAC">
            <w:pPr>
              <w:jc w:val="both"/>
              <w:rPr>
                <w:color w:val="FF0000"/>
                <w:sz w:val="18"/>
                <w:szCs w:val="18"/>
              </w:rPr>
            </w:pPr>
            <w:r w:rsidRPr="00180C3D">
              <w:rPr>
                <w:color w:val="FF0000"/>
                <w:sz w:val="18"/>
                <w:szCs w:val="18"/>
              </w:rPr>
              <w:t xml:space="preserve">        Kỹ sư điện được cung cấp các kiến thức cơ bản về Toán, Vật lý, Môi trường, Quản lý dự án... và các kiến thức cơ sở về điện từ, điện tử, tự động hóa, tin học, cơ, nhiệt... cũng như các môn kỹ thuật chuyên ngành.</w:t>
            </w:r>
          </w:p>
          <w:p w:rsidR="0015242A" w:rsidRPr="00180C3D" w:rsidRDefault="0015242A" w:rsidP="00427CAC">
            <w:pPr>
              <w:jc w:val="both"/>
              <w:rPr>
                <w:b/>
                <w:color w:val="FF0000"/>
                <w:sz w:val="18"/>
                <w:szCs w:val="18"/>
              </w:rPr>
            </w:pPr>
            <w:r w:rsidRPr="00180C3D">
              <w:rPr>
                <w:b/>
                <w:color w:val="FF0000"/>
                <w:sz w:val="18"/>
                <w:szCs w:val="18"/>
              </w:rPr>
              <w:lastRenderedPageBreak/>
              <w:t xml:space="preserve">  2. Kỹ năng:</w:t>
            </w:r>
          </w:p>
          <w:p w:rsidR="0015242A" w:rsidRPr="00180C3D" w:rsidRDefault="0015242A" w:rsidP="00427CAC">
            <w:pPr>
              <w:ind w:firstLine="113"/>
              <w:jc w:val="both"/>
              <w:rPr>
                <w:color w:val="FF0000"/>
                <w:sz w:val="18"/>
                <w:szCs w:val="18"/>
              </w:rPr>
            </w:pPr>
            <w:r w:rsidRPr="00180C3D">
              <w:rPr>
                <w:color w:val="FF0000"/>
                <w:sz w:val="18"/>
                <w:szCs w:val="18"/>
              </w:rPr>
              <w:t xml:space="preserve"> - Tư vấn, thiết kế, quản lý thi công: trên cơ sở được trang bị những kiến thức cơ bản, kiến thức chuyên ngành, các quy định, định mức trong ngành điện và thông qua các đồ án môn học, đồ án tốt nghiệp, sinh viên được trau dồi kỹ năng tư vấn thiết kế và kỹ năng quản lý thi công.</w:t>
            </w:r>
          </w:p>
          <w:p w:rsidR="0015242A" w:rsidRPr="00180C3D" w:rsidRDefault="0015242A" w:rsidP="00427CAC">
            <w:pPr>
              <w:ind w:firstLine="113"/>
              <w:jc w:val="both"/>
              <w:rPr>
                <w:color w:val="FF0000"/>
                <w:sz w:val="18"/>
                <w:szCs w:val="18"/>
              </w:rPr>
            </w:pPr>
            <w:r w:rsidRPr="00180C3D">
              <w:rPr>
                <w:color w:val="FF0000"/>
                <w:sz w:val="18"/>
                <w:szCs w:val="18"/>
              </w:rPr>
              <w:t>- Vận hành, quản lý điều hành: sinh viên được trang bị các kỹ năng vận hành hệ thống điện, hệ thống tự động hóa và quản lý, điều hành hoạt động doanh nghiệp.</w:t>
            </w:r>
          </w:p>
          <w:p w:rsidR="0015242A" w:rsidRPr="00180C3D" w:rsidRDefault="0015242A" w:rsidP="00427CAC">
            <w:pPr>
              <w:ind w:firstLine="113"/>
              <w:jc w:val="both"/>
              <w:rPr>
                <w:color w:val="FF0000"/>
                <w:sz w:val="18"/>
                <w:szCs w:val="18"/>
              </w:rPr>
            </w:pPr>
            <w:r w:rsidRPr="00180C3D">
              <w:rPr>
                <w:color w:val="FF0000"/>
                <w:sz w:val="18"/>
                <w:szCs w:val="18"/>
              </w:rPr>
              <w:t>- Phân tích và xử lý thông tin: sinh viên có kỹ năng phân tích và xây dựng các mô hình, các yêu cầu và giới hạn mục tiêu thiết kế và ứng dụng, thông qua các phần mềm mô phỏng, mô hình hóa các hệ thống trong ngành điện.</w:t>
            </w:r>
          </w:p>
          <w:p w:rsidR="0015242A" w:rsidRPr="00180C3D" w:rsidRDefault="0015242A" w:rsidP="00427CAC">
            <w:pPr>
              <w:ind w:firstLine="113"/>
              <w:jc w:val="both"/>
              <w:rPr>
                <w:color w:val="FF0000"/>
                <w:sz w:val="18"/>
                <w:szCs w:val="18"/>
              </w:rPr>
            </w:pPr>
            <w:r w:rsidRPr="00180C3D">
              <w:rPr>
                <w:color w:val="FF0000"/>
                <w:sz w:val="18"/>
                <w:szCs w:val="18"/>
              </w:rPr>
              <w:t>- Giải quyết vấn đề: sinh viên có kỹ năng giải quyết vấn đề đặt ra trong ngành điện thông qua các phần mềm chuyên dùng và đồ án môn học.</w:t>
            </w:r>
          </w:p>
          <w:p w:rsidR="0015242A" w:rsidRPr="00180C3D" w:rsidRDefault="0015242A" w:rsidP="00427CAC">
            <w:pPr>
              <w:ind w:firstLine="113"/>
              <w:jc w:val="both"/>
              <w:rPr>
                <w:color w:val="FF0000"/>
                <w:sz w:val="18"/>
                <w:szCs w:val="18"/>
              </w:rPr>
            </w:pPr>
            <w:r w:rsidRPr="00180C3D">
              <w:rPr>
                <w:color w:val="FF0000"/>
                <w:sz w:val="18"/>
                <w:szCs w:val="18"/>
              </w:rPr>
              <w:t xml:space="preserve">- Giao tiếp: sinh viên có kỹ năng trình bày, giải thích những giải </w:t>
            </w:r>
          </w:p>
          <w:p w:rsidR="0015242A" w:rsidRPr="00180C3D" w:rsidRDefault="0015242A" w:rsidP="00427CAC">
            <w:pPr>
              <w:ind w:firstLine="113"/>
              <w:jc w:val="both"/>
              <w:rPr>
                <w:rStyle w:val="Strong"/>
                <w:rFonts w:eastAsia="MS Mincho"/>
                <w:sz w:val="18"/>
                <w:szCs w:val="18"/>
              </w:rPr>
            </w:pPr>
          </w:p>
        </w:tc>
        <w:tc>
          <w:tcPr>
            <w:tcW w:w="5157" w:type="dxa"/>
          </w:tcPr>
          <w:p w:rsidR="0015242A" w:rsidRPr="00180C3D" w:rsidRDefault="0015242A" w:rsidP="00427CAC">
            <w:pPr>
              <w:jc w:val="both"/>
              <w:rPr>
                <w:color w:val="FF0000"/>
                <w:sz w:val="18"/>
                <w:szCs w:val="18"/>
              </w:rPr>
            </w:pPr>
            <w:r w:rsidRPr="00180C3D">
              <w:rPr>
                <w:color w:val="FF0000"/>
                <w:sz w:val="18"/>
                <w:szCs w:val="18"/>
              </w:rPr>
              <w:lastRenderedPageBreak/>
              <w:t>pháp phức tạp, giải pháp thay thế.... thông qua các báo cáo kỹ thuật theo tiêu chuẩn chuyên ngành (đồ án môn học, đồ án tốt nghiệp và các loại hình thực tập) hay các báo cáo thuyết trình chuyên môn.</w:t>
            </w:r>
          </w:p>
          <w:p w:rsidR="0015242A" w:rsidRPr="00180C3D" w:rsidRDefault="0015242A" w:rsidP="00427CAC">
            <w:pPr>
              <w:ind w:firstLine="113"/>
              <w:jc w:val="both"/>
              <w:rPr>
                <w:color w:val="FF0000"/>
                <w:sz w:val="18"/>
                <w:szCs w:val="18"/>
              </w:rPr>
            </w:pPr>
            <w:r w:rsidRPr="00180C3D">
              <w:rPr>
                <w:color w:val="FF0000"/>
                <w:sz w:val="18"/>
                <w:szCs w:val="18"/>
              </w:rPr>
              <w:t xml:space="preserve">- Làm việc theo nhóm: sinh viên biết cách làm việc hiệu quả trong các vai trò khác nhau (như tổ chức, quản lý, thực hiện) trong các </w:t>
            </w:r>
            <w:r w:rsidRPr="00180C3D">
              <w:rPr>
                <w:color w:val="FF0000"/>
                <w:sz w:val="18"/>
                <w:szCs w:val="18"/>
              </w:rPr>
              <w:lastRenderedPageBreak/>
              <w:t>nhóm sinh viên có những sở thích, môi trường sống và trình độ kỹ thuật chuyên môn khác nhau để đạt đến các yêu cầu, kết quả được đặt ra trong học tập.</w:t>
            </w:r>
          </w:p>
          <w:p w:rsidR="0015242A" w:rsidRPr="00180C3D" w:rsidRDefault="0015242A" w:rsidP="00427CAC">
            <w:pPr>
              <w:ind w:firstLine="113"/>
              <w:jc w:val="both"/>
              <w:rPr>
                <w:color w:val="FF0000"/>
                <w:sz w:val="18"/>
                <w:szCs w:val="18"/>
              </w:rPr>
            </w:pPr>
            <w:r w:rsidRPr="00180C3D">
              <w:rPr>
                <w:color w:val="FF0000"/>
                <w:sz w:val="18"/>
                <w:szCs w:val="18"/>
              </w:rPr>
              <w:t>- Ngoại ngữ: trang bị kiến thức Tiếng Anh tương đương trình độ Toeic 400, giúp sinh viên có kỹ năng sử dụng Tiếng Anh trong học tập, dịch thuật, NCKH và giao tiếp trong cuộc sống, trong công tác.</w:t>
            </w:r>
          </w:p>
          <w:p w:rsidR="0015242A" w:rsidRPr="00180C3D" w:rsidRDefault="0015242A" w:rsidP="00427CAC">
            <w:pPr>
              <w:ind w:firstLine="113"/>
              <w:jc w:val="both"/>
              <w:rPr>
                <w:b/>
                <w:color w:val="FF0000"/>
                <w:sz w:val="18"/>
                <w:szCs w:val="18"/>
              </w:rPr>
            </w:pPr>
            <w:r w:rsidRPr="00180C3D">
              <w:rPr>
                <w:b/>
                <w:color w:val="FF0000"/>
                <w:sz w:val="18"/>
                <w:szCs w:val="18"/>
              </w:rPr>
              <w:t xml:space="preserve">3. Về phẩm chất:  </w:t>
            </w:r>
          </w:p>
          <w:p w:rsidR="0015242A" w:rsidRPr="00180C3D" w:rsidRDefault="0015242A" w:rsidP="00427CAC">
            <w:pPr>
              <w:jc w:val="both"/>
              <w:rPr>
                <w:color w:val="FF0000"/>
                <w:sz w:val="18"/>
                <w:szCs w:val="18"/>
              </w:rPr>
            </w:pPr>
            <w:r w:rsidRPr="00180C3D">
              <w:rPr>
                <w:color w:val="FF0000"/>
                <w:sz w:val="18"/>
                <w:szCs w:val="18"/>
              </w:rPr>
              <w:t>Đào tạo kỹ sư điện có phẩm chất chính trị vững vàng, đạo đức tư cách tốt và đủ sức khỏe để tham gia xây dựng và bảo vệ Tổ quốc.</w:t>
            </w:r>
          </w:p>
          <w:p w:rsidR="0015242A" w:rsidRPr="00180C3D" w:rsidRDefault="0015242A" w:rsidP="00427CAC">
            <w:pPr>
              <w:ind w:firstLine="113"/>
              <w:jc w:val="both"/>
              <w:rPr>
                <w:color w:val="FF0000"/>
                <w:sz w:val="18"/>
                <w:szCs w:val="18"/>
              </w:rPr>
            </w:pPr>
            <w:r w:rsidRPr="00180C3D">
              <w:rPr>
                <w:color w:val="FF0000"/>
                <w:sz w:val="18"/>
                <w:szCs w:val="18"/>
              </w:rPr>
              <w:t>Thời gian đào tạo 4,5 năm</w:t>
            </w:r>
          </w:p>
          <w:p w:rsidR="0015242A" w:rsidRPr="00180C3D" w:rsidRDefault="0015242A" w:rsidP="00427CAC">
            <w:pPr>
              <w:tabs>
                <w:tab w:val="left" w:pos="360"/>
              </w:tabs>
              <w:ind w:firstLine="113"/>
              <w:jc w:val="both"/>
              <w:rPr>
                <w:color w:val="FF0000"/>
                <w:sz w:val="18"/>
                <w:szCs w:val="18"/>
              </w:rPr>
            </w:pPr>
            <w:r w:rsidRPr="00180C3D">
              <w:rPr>
                <w:b/>
                <w:bCs/>
                <w:color w:val="FF0000"/>
                <w:sz w:val="18"/>
                <w:szCs w:val="18"/>
              </w:rPr>
              <w:t>4. Vị trí và khả năng làm việc sau khi tốt nghiệp</w:t>
            </w:r>
            <w:r w:rsidRPr="00180C3D">
              <w:rPr>
                <w:color w:val="FF0000"/>
                <w:sz w:val="18"/>
                <w:szCs w:val="18"/>
              </w:rPr>
              <w:t xml:space="preserve"> </w:t>
            </w:r>
          </w:p>
          <w:p w:rsidR="0015242A" w:rsidRPr="00180C3D" w:rsidRDefault="0015242A" w:rsidP="00427CAC">
            <w:pPr>
              <w:ind w:firstLine="113"/>
              <w:jc w:val="both"/>
              <w:rPr>
                <w:color w:val="FF0000"/>
                <w:sz w:val="18"/>
                <w:szCs w:val="18"/>
              </w:rPr>
            </w:pPr>
            <w:r w:rsidRPr="00180C3D">
              <w:rPr>
                <w:color w:val="FF0000"/>
                <w:sz w:val="18"/>
                <w:szCs w:val="18"/>
              </w:rPr>
              <w:t>Sinh viên sau khi tốt nghiệp có khả năng thiết kế, chế tạo, sản xuất, thử nghiệm, vận hành, sử dụng, lắp đặt, sửa chữa, bảo dưỡng, quản lý, nghiên cứu phát triển các hệ thống điện, trang thiết bị điện; có đủ năng lực, điều kiện làm việc trong các lĩnh vực sản xuất, truyền tải, phân phối và sử dụng điện năng trong các ngành kinh tế quốc dân.</w:t>
            </w:r>
          </w:p>
          <w:p w:rsidR="0015242A" w:rsidRPr="00180C3D" w:rsidRDefault="0015242A" w:rsidP="00427CAC">
            <w:pPr>
              <w:tabs>
                <w:tab w:val="left" w:pos="540"/>
              </w:tabs>
              <w:ind w:firstLine="113"/>
              <w:jc w:val="both"/>
              <w:rPr>
                <w:rStyle w:val="Strong"/>
                <w:rFonts w:eastAsia="MS Mincho"/>
                <w:sz w:val="18"/>
                <w:szCs w:val="18"/>
              </w:rPr>
            </w:pPr>
          </w:p>
        </w:tc>
      </w:tr>
    </w:tbl>
    <w:p w:rsidR="002676CD" w:rsidRDefault="002676CD">
      <w:bookmarkStart w:id="0" w:name="_GoBack"/>
      <w:bookmarkEnd w:id="0"/>
    </w:p>
    <w:sectPr w:rsidR="00267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2969"/>
    <w:multiLevelType w:val="hybridMultilevel"/>
    <w:tmpl w:val="26C837D0"/>
    <w:lvl w:ilvl="0" w:tplc="964416BE">
      <w:numFmt w:val="bullet"/>
      <w:lvlText w:val="-"/>
      <w:lvlJc w:val="left"/>
      <w:pPr>
        <w:tabs>
          <w:tab w:val="num" w:pos="360"/>
        </w:tabs>
        <w:ind w:left="360" w:hanging="360"/>
      </w:pPr>
      <w:rPr>
        <w:rFonts w:ascii="Times New Roman" w:eastAsia="Times New Roman" w:hAnsi="Times New Roman" w:cs="Times New Roman" w:hint="default"/>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B1CA5"/>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B1983"/>
    <w:multiLevelType w:val="hybridMultilevel"/>
    <w:tmpl w:val="28801D3A"/>
    <w:lvl w:ilvl="0" w:tplc="DD0C990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0353DEC"/>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01212"/>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8121F4"/>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214A18"/>
    <w:multiLevelType w:val="hybridMultilevel"/>
    <w:tmpl w:val="609EF0FA"/>
    <w:lvl w:ilvl="0" w:tplc="7520BDD6">
      <w:start w:val="3"/>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7" w15:restartNumberingAfterBreak="0">
    <w:nsid w:val="47BC29C1"/>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C557A2"/>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C16E09"/>
    <w:multiLevelType w:val="hybridMultilevel"/>
    <w:tmpl w:val="932A1844"/>
    <w:lvl w:ilvl="0" w:tplc="10D2AFE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47705B"/>
    <w:multiLevelType w:val="hybridMultilevel"/>
    <w:tmpl w:val="35E2A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BC7307"/>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DF2E36"/>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3A4C40"/>
    <w:multiLevelType w:val="hybridMultilevel"/>
    <w:tmpl w:val="BC022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395E7A"/>
    <w:multiLevelType w:val="hybridMultilevel"/>
    <w:tmpl w:val="354E70EE"/>
    <w:lvl w:ilvl="0" w:tplc="C8AE57A8">
      <w:start w:val="1"/>
      <w:numFmt w:val="decimal"/>
      <w:lvlText w:val="%1."/>
      <w:lvlJc w:val="left"/>
      <w:pPr>
        <w:ind w:left="1013" w:hanging="360"/>
      </w:pPr>
      <w:rPr>
        <w:rFonts w:hint="default"/>
      </w:rPr>
    </w:lvl>
    <w:lvl w:ilvl="1" w:tplc="04090019" w:tentative="1">
      <w:start w:val="1"/>
      <w:numFmt w:val="lowerLetter"/>
      <w:lvlText w:val="%2."/>
      <w:lvlJc w:val="left"/>
      <w:pPr>
        <w:ind w:left="1733" w:hanging="360"/>
      </w:pPr>
    </w:lvl>
    <w:lvl w:ilvl="2" w:tplc="0409001B" w:tentative="1">
      <w:start w:val="1"/>
      <w:numFmt w:val="lowerRoman"/>
      <w:lvlText w:val="%3."/>
      <w:lvlJc w:val="right"/>
      <w:pPr>
        <w:ind w:left="2453" w:hanging="180"/>
      </w:pPr>
    </w:lvl>
    <w:lvl w:ilvl="3" w:tplc="0409000F" w:tentative="1">
      <w:start w:val="1"/>
      <w:numFmt w:val="decimal"/>
      <w:lvlText w:val="%4."/>
      <w:lvlJc w:val="left"/>
      <w:pPr>
        <w:ind w:left="3173" w:hanging="360"/>
      </w:pPr>
    </w:lvl>
    <w:lvl w:ilvl="4" w:tplc="04090019" w:tentative="1">
      <w:start w:val="1"/>
      <w:numFmt w:val="lowerLetter"/>
      <w:lvlText w:val="%5."/>
      <w:lvlJc w:val="left"/>
      <w:pPr>
        <w:ind w:left="3893" w:hanging="360"/>
      </w:pPr>
    </w:lvl>
    <w:lvl w:ilvl="5" w:tplc="0409001B" w:tentative="1">
      <w:start w:val="1"/>
      <w:numFmt w:val="lowerRoman"/>
      <w:lvlText w:val="%6."/>
      <w:lvlJc w:val="right"/>
      <w:pPr>
        <w:ind w:left="4613" w:hanging="180"/>
      </w:pPr>
    </w:lvl>
    <w:lvl w:ilvl="6" w:tplc="0409000F" w:tentative="1">
      <w:start w:val="1"/>
      <w:numFmt w:val="decimal"/>
      <w:lvlText w:val="%7."/>
      <w:lvlJc w:val="left"/>
      <w:pPr>
        <w:ind w:left="5333" w:hanging="360"/>
      </w:pPr>
    </w:lvl>
    <w:lvl w:ilvl="7" w:tplc="04090019" w:tentative="1">
      <w:start w:val="1"/>
      <w:numFmt w:val="lowerLetter"/>
      <w:lvlText w:val="%8."/>
      <w:lvlJc w:val="left"/>
      <w:pPr>
        <w:ind w:left="6053" w:hanging="360"/>
      </w:pPr>
    </w:lvl>
    <w:lvl w:ilvl="8" w:tplc="0409001B" w:tentative="1">
      <w:start w:val="1"/>
      <w:numFmt w:val="lowerRoman"/>
      <w:lvlText w:val="%9."/>
      <w:lvlJc w:val="right"/>
      <w:pPr>
        <w:ind w:left="6773" w:hanging="180"/>
      </w:pPr>
    </w:lvl>
  </w:abstractNum>
  <w:abstractNum w:abstractNumId="15" w15:restartNumberingAfterBreak="0">
    <w:nsid w:val="7FD14524"/>
    <w:multiLevelType w:val="hybridMultilevel"/>
    <w:tmpl w:val="83B669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3"/>
  </w:num>
  <w:num w:numId="5">
    <w:abstractNumId w:val="8"/>
  </w:num>
  <w:num w:numId="6">
    <w:abstractNumId w:val="5"/>
  </w:num>
  <w:num w:numId="7">
    <w:abstractNumId w:val="7"/>
  </w:num>
  <w:num w:numId="8">
    <w:abstractNumId w:val="2"/>
  </w:num>
  <w:num w:numId="9">
    <w:abstractNumId w:val="10"/>
  </w:num>
  <w:num w:numId="10">
    <w:abstractNumId w:val="9"/>
  </w:num>
  <w:num w:numId="11">
    <w:abstractNumId w:val="11"/>
  </w:num>
  <w:num w:numId="12">
    <w:abstractNumId w:val="4"/>
  </w:num>
  <w:num w:numId="13">
    <w:abstractNumId w:val="14"/>
  </w:num>
  <w:num w:numId="14">
    <w:abstractNumId w:val="1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42A"/>
    <w:rsid w:val="0015242A"/>
    <w:rsid w:val="0026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FD664-457D-47BF-B4AF-C0BB3D3B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4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5242A"/>
    <w:pPr>
      <w:keepNext/>
      <w:spacing w:before="240" w:after="60"/>
      <w:outlineLvl w:val="0"/>
    </w:pPr>
    <w:rPr>
      <w:rFonts w:ascii="Arial" w:eastAsia="MS Mincho" w:hAnsi="Arial" w:cs="Arial"/>
      <w:b/>
      <w:bCs/>
      <w:kern w:val="32"/>
      <w:sz w:val="32"/>
      <w:szCs w:val="32"/>
      <w:lang w:eastAsia="ja-JP"/>
    </w:rPr>
  </w:style>
  <w:style w:type="paragraph" w:styleId="Heading3">
    <w:name w:val="heading 3"/>
    <w:basedOn w:val="Normal"/>
    <w:next w:val="Normal"/>
    <w:link w:val="Heading3Char"/>
    <w:uiPriority w:val="9"/>
    <w:semiHidden/>
    <w:unhideWhenUsed/>
    <w:qFormat/>
    <w:rsid w:val="0015242A"/>
    <w:pPr>
      <w:keepNext/>
      <w:keepLines/>
      <w:spacing w:before="200"/>
      <w:outlineLvl w:val="2"/>
    </w:pPr>
    <w:rPr>
      <w:rFonts w:asciiTheme="majorHAnsi" w:eastAsiaTheme="majorEastAsia" w:hAnsiTheme="majorHAnsi" w:cstheme="majorBidi"/>
      <w:b/>
      <w:bCs/>
      <w:color w:val="5B9BD5" w:themeColor="accent1"/>
    </w:rPr>
  </w:style>
  <w:style w:type="paragraph" w:styleId="Heading7">
    <w:name w:val="heading 7"/>
    <w:basedOn w:val="Normal"/>
    <w:next w:val="Normal"/>
    <w:link w:val="Heading7Char"/>
    <w:uiPriority w:val="9"/>
    <w:semiHidden/>
    <w:unhideWhenUsed/>
    <w:qFormat/>
    <w:rsid w:val="001524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42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242A"/>
    <w:rPr>
      <w:rFonts w:ascii="Arial" w:eastAsia="MS Mincho" w:hAnsi="Arial" w:cs="Arial"/>
      <w:b/>
      <w:bCs/>
      <w:kern w:val="32"/>
      <w:sz w:val="32"/>
      <w:szCs w:val="32"/>
      <w:lang w:eastAsia="ja-JP"/>
    </w:rPr>
  </w:style>
  <w:style w:type="character" w:customStyle="1" w:styleId="Heading3Char">
    <w:name w:val="Heading 3 Char"/>
    <w:basedOn w:val="DefaultParagraphFont"/>
    <w:link w:val="Heading3"/>
    <w:uiPriority w:val="9"/>
    <w:semiHidden/>
    <w:rsid w:val="0015242A"/>
    <w:rPr>
      <w:rFonts w:asciiTheme="majorHAnsi" w:eastAsiaTheme="majorEastAsia" w:hAnsiTheme="majorHAnsi" w:cstheme="majorBidi"/>
      <w:b/>
      <w:bCs/>
      <w:color w:val="5B9BD5" w:themeColor="accent1"/>
      <w:sz w:val="24"/>
      <w:szCs w:val="24"/>
    </w:rPr>
  </w:style>
  <w:style w:type="character" w:customStyle="1" w:styleId="Heading7Char">
    <w:name w:val="Heading 7 Char"/>
    <w:basedOn w:val="DefaultParagraphFont"/>
    <w:link w:val="Heading7"/>
    <w:uiPriority w:val="9"/>
    <w:semiHidden/>
    <w:rsid w:val="0015242A"/>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15242A"/>
    <w:rPr>
      <w:rFonts w:asciiTheme="majorHAnsi" w:eastAsiaTheme="majorEastAsia" w:hAnsiTheme="majorHAnsi" w:cstheme="majorBidi"/>
      <w:color w:val="404040" w:themeColor="text1" w:themeTint="BF"/>
      <w:sz w:val="20"/>
      <w:szCs w:val="20"/>
    </w:rPr>
  </w:style>
  <w:style w:type="character" w:styleId="Strong">
    <w:name w:val="Strong"/>
    <w:basedOn w:val="DefaultParagraphFont"/>
    <w:uiPriority w:val="22"/>
    <w:qFormat/>
    <w:rsid w:val="0015242A"/>
    <w:rPr>
      <w:b/>
      <w:bCs/>
    </w:rPr>
  </w:style>
  <w:style w:type="paragraph" w:customStyle="1" w:styleId="msolistparagraphcxspmiddle">
    <w:name w:val="msolistparagraphcxspmiddle"/>
    <w:basedOn w:val="Normal"/>
    <w:rsid w:val="0015242A"/>
    <w:pPr>
      <w:spacing w:before="100" w:beforeAutospacing="1" w:after="100" w:afterAutospacing="1"/>
    </w:pPr>
    <w:rPr>
      <w:rFonts w:ascii="Arial" w:hAnsi="Arial" w:cs="Arial"/>
      <w:sz w:val="18"/>
      <w:szCs w:val="18"/>
    </w:rPr>
  </w:style>
  <w:style w:type="paragraph" w:customStyle="1" w:styleId="msolistparagraphcxsplast">
    <w:name w:val="msolistparagraphcxsplast"/>
    <w:basedOn w:val="Normal"/>
    <w:rsid w:val="0015242A"/>
    <w:pPr>
      <w:spacing w:before="100" w:beforeAutospacing="1" w:after="100" w:afterAutospacing="1"/>
    </w:pPr>
    <w:rPr>
      <w:rFonts w:ascii="Arial" w:hAnsi="Arial" w:cs="Arial"/>
      <w:sz w:val="18"/>
      <w:szCs w:val="18"/>
    </w:rPr>
  </w:style>
  <w:style w:type="paragraph" w:styleId="Header">
    <w:name w:val="header"/>
    <w:basedOn w:val="Normal"/>
    <w:link w:val="HeaderChar"/>
    <w:uiPriority w:val="99"/>
    <w:semiHidden/>
    <w:unhideWhenUsed/>
    <w:rsid w:val="0015242A"/>
    <w:pPr>
      <w:tabs>
        <w:tab w:val="center" w:pos="4680"/>
        <w:tab w:val="right" w:pos="9360"/>
      </w:tabs>
    </w:pPr>
  </w:style>
  <w:style w:type="character" w:customStyle="1" w:styleId="HeaderChar">
    <w:name w:val="Header Char"/>
    <w:basedOn w:val="DefaultParagraphFont"/>
    <w:link w:val="Header"/>
    <w:uiPriority w:val="99"/>
    <w:semiHidden/>
    <w:rsid w:val="001524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242A"/>
    <w:pPr>
      <w:tabs>
        <w:tab w:val="center" w:pos="4680"/>
        <w:tab w:val="right" w:pos="9360"/>
      </w:tabs>
    </w:pPr>
  </w:style>
  <w:style w:type="character" w:customStyle="1" w:styleId="FooterChar">
    <w:name w:val="Footer Char"/>
    <w:basedOn w:val="DefaultParagraphFont"/>
    <w:link w:val="Footer"/>
    <w:uiPriority w:val="99"/>
    <w:rsid w:val="0015242A"/>
    <w:rPr>
      <w:rFonts w:ascii="Times New Roman" w:eastAsia="Times New Roman" w:hAnsi="Times New Roman" w:cs="Times New Roman"/>
      <w:sz w:val="24"/>
      <w:szCs w:val="24"/>
    </w:rPr>
  </w:style>
  <w:style w:type="paragraph" w:styleId="ListParagraph">
    <w:name w:val="List Paragraph"/>
    <w:basedOn w:val="Normal"/>
    <w:uiPriority w:val="34"/>
    <w:qFormat/>
    <w:rsid w:val="0015242A"/>
    <w:pPr>
      <w:ind w:left="720"/>
      <w:contextualSpacing/>
    </w:pPr>
  </w:style>
  <w:style w:type="table" w:styleId="TableGrid">
    <w:name w:val="Table Grid"/>
    <w:basedOn w:val="TableNormal"/>
    <w:uiPriority w:val="59"/>
    <w:rsid w:val="00152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igatorindex2">
    <w:name w:val="navigatorindex2"/>
    <w:basedOn w:val="DefaultParagraphFont"/>
    <w:rsid w:val="0015242A"/>
  </w:style>
  <w:style w:type="paragraph" w:styleId="NormalWeb">
    <w:name w:val="Normal (Web)"/>
    <w:basedOn w:val="Normal"/>
    <w:uiPriority w:val="99"/>
    <w:rsid w:val="0015242A"/>
    <w:pPr>
      <w:spacing w:before="100" w:beforeAutospacing="1" w:after="100" w:afterAutospacing="1"/>
    </w:pPr>
  </w:style>
  <w:style w:type="paragraph" w:styleId="BodyTextIndent2">
    <w:name w:val="Body Text Indent 2"/>
    <w:basedOn w:val="Normal"/>
    <w:link w:val="BodyTextIndent2Char"/>
    <w:rsid w:val="0015242A"/>
    <w:pPr>
      <w:ind w:firstLine="720"/>
      <w:jc w:val="both"/>
    </w:pPr>
    <w:rPr>
      <w:sz w:val="26"/>
    </w:rPr>
  </w:style>
  <w:style w:type="character" w:customStyle="1" w:styleId="BodyTextIndent2Char">
    <w:name w:val="Body Text Indent 2 Char"/>
    <w:basedOn w:val="DefaultParagraphFont"/>
    <w:link w:val="BodyTextIndent2"/>
    <w:rsid w:val="0015242A"/>
    <w:rPr>
      <w:rFonts w:ascii="Times New Roman" w:eastAsia="Times New Roman" w:hAnsi="Times New Roman" w:cs="Times New Roman"/>
      <w:sz w:val="26"/>
      <w:szCs w:val="24"/>
    </w:rPr>
  </w:style>
  <w:style w:type="character" w:customStyle="1" w:styleId="apple-converted-space">
    <w:name w:val="apple-converted-space"/>
    <w:basedOn w:val="DefaultParagraphFont"/>
    <w:rsid w:val="0015242A"/>
  </w:style>
  <w:style w:type="character" w:styleId="Emphasis">
    <w:name w:val="Emphasis"/>
    <w:basedOn w:val="DefaultParagraphFont"/>
    <w:uiPriority w:val="20"/>
    <w:qFormat/>
    <w:rsid w:val="0015242A"/>
    <w:rPr>
      <w:i/>
      <w:iCs/>
    </w:rPr>
  </w:style>
  <w:style w:type="paragraph" w:styleId="BlockText">
    <w:name w:val="Block Text"/>
    <w:basedOn w:val="Normal"/>
    <w:rsid w:val="0015242A"/>
    <w:pPr>
      <w:spacing w:line="312" w:lineRule="auto"/>
      <w:ind w:left="1134" w:right="992"/>
    </w:pPr>
    <w:rPr>
      <w:rFonts w:ascii=".VnTime" w:hAnsi=".VnTim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1147</Words>
  <Characters>6539</Characters>
  <Application>Microsoft Office Word</Application>
  <DocSecurity>0</DocSecurity>
  <Lines>54</Lines>
  <Paragraphs>15</Paragraphs>
  <ScaleCrop>false</ScaleCrop>
  <Company>DHH</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QUANTT</dc:creator>
  <cp:keywords/>
  <dc:description/>
  <cp:lastModifiedBy>QUANTT</cp:lastModifiedBy>
  <cp:revision>1</cp:revision>
  <dcterms:created xsi:type="dcterms:W3CDTF">2017-03-07T02:57:00Z</dcterms:created>
  <dcterms:modified xsi:type="dcterms:W3CDTF">2017-03-07T02:58:00Z</dcterms:modified>
</cp:coreProperties>
</file>